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397503">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397503" w:rsidRPr="00642D91">
        <w:rPr>
          <w:rFonts w:ascii="Palatino Linotype" w:hAnsi="Palatino Linotype" w:cs="Arial"/>
          <w:b/>
          <w:sz w:val="24"/>
          <w:szCs w:val="24"/>
        </w:rPr>
        <w:t>JAVIER MARTÍNEZ CRUZ</w:t>
      </w:r>
      <w:r w:rsidR="00BA3598" w:rsidRPr="00642D91">
        <w:rPr>
          <w:rFonts w:ascii="Palatino Linotype" w:hAnsi="Palatino Linotype" w:cs="Arial"/>
          <w:b/>
          <w:sz w:val="24"/>
          <w:szCs w:val="24"/>
        </w:rPr>
        <w:t xml:space="preserve">,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397503">
        <w:rPr>
          <w:rFonts w:ascii="Palatino Linotype" w:hAnsi="Palatino Linotype"/>
          <w:b/>
          <w:sz w:val="24"/>
          <w:szCs w:val="24"/>
        </w:rPr>
        <w:t xml:space="preserve">TRIGÉSIMA </w:t>
      </w:r>
      <w:r w:rsidR="007D2513">
        <w:rPr>
          <w:rFonts w:ascii="Palatino Linotype" w:hAnsi="Palatino Linotype"/>
          <w:b/>
          <w:sz w:val="24"/>
          <w:szCs w:val="24"/>
        </w:rPr>
        <w:t>SÉPTIMA</w:t>
      </w:r>
      <w:r w:rsidRPr="00642D91">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7D2513">
        <w:rPr>
          <w:rFonts w:ascii="Palatino Linotype" w:hAnsi="Palatino Linotype"/>
          <w:b/>
          <w:sz w:val="24"/>
          <w:szCs w:val="24"/>
        </w:rPr>
        <w:t>DIEZ DE OCTUBRE DE DOS MIL DIECIOCHO,</w:t>
      </w:r>
      <w:r w:rsidR="000607BA" w:rsidRPr="00642D91">
        <w:rPr>
          <w:rFonts w:ascii="Palatino Linotype" w:hAnsi="Palatino Linotype"/>
          <w:b/>
          <w:sz w:val="24"/>
          <w:szCs w:val="24"/>
        </w:rPr>
        <w:t xml:space="preserve"> EN EL RECURSO DE REVISIÓN 0</w:t>
      </w:r>
      <w:r w:rsidR="001E28B6" w:rsidRPr="00642D91">
        <w:rPr>
          <w:rFonts w:ascii="Palatino Linotype" w:hAnsi="Palatino Linotype"/>
          <w:b/>
          <w:sz w:val="24"/>
          <w:szCs w:val="24"/>
        </w:rPr>
        <w:t>2</w:t>
      </w:r>
      <w:r w:rsidR="007D2513">
        <w:rPr>
          <w:rFonts w:ascii="Palatino Linotype" w:hAnsi="Palatino Linotype"/>
          <w:b/>
          <w:sz w:val="24"/>
          <w:szCs w:val="24"/>
        </w:rPr>
        <w:t>957</w:t>
      </w:r>
      <w:r w:rsidR="000607BA" w:rsidRPr="00642D91">
        <w:rPr>
          <w:rFonts w:ascii="Palatino Linotype" w:hAnsi="Palatino Linotype"/>
          <w:b/>
          <w:sz w:val="24"/>
          <w:szCs w:val="24"/>
        </w:rPr>
        <w:t>/INFOEM/</w:t>
      </w:r>
      <w:r w:rsidR="007D2513">
        <w:rPr>
          <w:rFonts w:ascii="Palatino Linotype" w:hAnsi="Palatino Linotype"/>
          <w:b/>
          <w:sz w:val="24"/>
          <w:szCs w:val="24"/>
        </w:rPr>
        <w:t>AD</w:t>
      </w:r>
      <w:r w:rsidR="000607BA" w:rsidRPr="00642D91">
        <w:rPr>
          <w:rFonts w:ascii="Palatino Linotype" w:hAnsi="Palatino Linotype"/>
          <w:b/>
          <w:sz w:val="24"/>
          <w:szCs w:val="24"/>
        </w:rPr>
        <w:t>/RR/201</w:t>
      </w:r>
      <w:r w:rsidR="00397503">
        <w:rPr>
          <w:rFonts w:ascii="Palatino Linotype" w:hAnsi="Palatino Linotype"/>
          <w:b/>
          <w:sz w:val="24"/>
          <w:szCs w:val="24"/>
        </w:rPr>
        <w:t>8</w:t>
      </w:r>
      <w:r w:rsidR="000607BA" w:rsidRPr="00642D91">
        <w:rPr>
          <w:rFonts w:ascii="Palatino Linotype" w:hAnsi="Palatino Linotype"/>
          <w:b/>
          <w:sz w:val="24"/>
          <w:szCs w:val="24"/>
        </w:rPr>
        <w:t>.</w:t>
      </w:r>
    </w:p>
    <w:p w:rsidR="007D2513" w:rsidRDefault="00C47969" w:rsidP="00492F8D">
      <w:pPr>
        <w:pStyle w:val="Prrafodelista"/>
        <w:spacing w:before="240" w:after="240" w:line="360" w:lineRule="auto"/>
        <w:ind w:left="0" w:right="-3"/>
        <w:contextualSpacing w:val="0"/>
        <w:jc w:val="both"/>
        <w:rPr>
          <w:rFonts w:ascii="Palatino Linotype" w:hAnsi="Palatino Linotype"/>
        </w:rPr>
      </w:pPr>
      <w:r w:rsidRPr="00492F8D">
        <w:rPr>
          <w:rFonts w:ascii="Palatino Linotype" w:hAnsi="Palatino Linotype"/>
        </w:rPr>
        <w:t xml:space="preserve">El Pleno del Instituto de Transparencia, Acceso a la Información Pública y Protección de Datos Personales del Estado de México y Municipios, </w:t>
      </w:r>
      <w:r w:rsidR="007D2513">
        <w:rPr>
          <w:rFonts w:ascii="Palatino Linotype" w:hAnsi="Palatino Linotype"/>
        </w:rPr>
        <w:t xml:space="preserve">resolvió ordenar el sobreseimiento del recurso de revisión materia de del presente voto, tras el acuerdo de conciliación al que llegaron las partes en la audiencia de conciliación celebrada el trece de septiembre de la presente anualidad, provocando así, que el asunto quedara sin materia para resolver, determinación que si bien comparto, no </w:t>
      </w:r>
      <w:r w:rsidRPr="00492F8D">
        <w:rPr>
          <w:rFonts w:ascii="Palatino Linotype" w:hAnsi="Palatino Linotype"/>
        </w:rPr>
        <w:t>apr</w:t>
      </w:r>
      <w:r w:rsidR="007D2513">
        <w:rPr>
          <w:rFonts w:ascii="Palatino Linotype" w:hAnsi="Palatino Linotype"/>
        </w:rPr>
        <w:t xml:space="preserve">uebo que se haya abierto la etapa de conciliación sin que la </w:t>
      </w:r>
      <w:r w:rsidR="007D2513">
        <w:rPr>
          <w:rFonts w:ascii="Palatino Linotype" w:hAnsi="Palatino Linotype"/>
          <w:b/>
          <w:i/>
        </w:rPr>
        <w:t xml:space="preserve">Recurrente </w:t>
      </w:r>
      <w:r w:rsidR="007D2513">
        <w:rPr>
          <w:rFonts w:ascii="Palatino Linotype" w:hAnsi="Palatino Linotype"/>
        </w:rPr>
        <w:t xml:space="preserve">haya acreditado su </w:t>
      </w:r>
      <w:r w:rsidR="00D46E9C">
        <w:rPr>
          <w:rFonts w:ascii="Palatino Linotype" w:hAnsi="Palatino Linotype"/>
        </w:rPr>
        <w:t>interés</w:t>
      </w:r>
      <w:r w:rsidR="007D2513">
        <w:rPr>
          <w:rFonts w:ascii="Palatino Linotype" w:hAnsi="Palatino Linotype"/>
        </w:rPr>
        <w:t xml:space="preserve"> legitimo para solicitar la informaci</w:t>
      </w:r>
      <w:r w:rsidR="00B730C9">
        <w:rPr>
          <w:rFonts w:ascii="Palatino Linotype" w:hAnsi="Palatino Linotype"/>
        </w:rPr>
        <w:t>ón, en la admisión del medio de impugnación.</w:t>
      </w:r>
    </w:p>
    <w:p w:rsidR="00D46E9C" w:rsidRDefault="007D2513" w:rsidP="00492F8D">
      <w:pPr>
        <w:pStyle w:val="Prrafodelista"/>
        <w:spacing w:before="240" w:after="240" w:line="360" w:lineRule="auto"/>
        <w:ind w:left="0" w:right="-3"/>
        <w:contextualSpacing w:val="0"/>
        <w:jc w:val="both"/>
        <w:rPr>
          <w:rFonts w:ascii="Palatino Linotype" w:hAnsi="Palatino Linotype"/>
          <w:i/>
        </w:rPr>
      </w:pPr>
      <w:r>
        <w:rPr>
          <w:rFonts w:ascii="Palatino Linotype" w:hAnsi="Palatino Linotype"/>
        </w:rPr>
        <w:t xml:space="preserve">Ante la evidente existencia fáctica, de que no se trata de acceso a datos personales de su persona, sino </w:t>
      </w:r>
      <w:r w:rsidR="00D46E9C">
        <w:rPr>
          <w:rFonts w:ascii="Palatino Linotype" w:hAnsi="Palatino Linotype"/>
        </w:rPr>
        <w:t>de</w:t>
      </w:r>
      <w:r>
        <w:rPr>
          <w:rFonts w:ascii="Palatino Linotype" w:hAnsi="Palatino Linotype"/>
        </w:rPr>
        <w:t xml:space="preserve"> su padre</w:t>
      </w:r>
      <w:r w:rsidR="00D46E9C">
        <w:rPr>
          <w:rFonts w:ascii="Palatino Linotype" w:hAnsi="Palatino Linotype"/>
        </w:rPr>
        <w:t xml:space="preserve"> fallecido, o bien denominado en materia legal como de </w:t>
      </w:r>
      <w:r w:rsidR="00D46E9C" w:rsidRPr="00D46E9C">
        <w:rPr>
          <w:rFonts w:ascii="Palatino Linotype" w:hAnsi="Palatino Linotype"/>
          <w:i/>
        </w:rPr>
        <w:t>“Cujus”</w:t>
      </w:r>
      <w:r w:rsidR="00D46E9C">
        <w:rPr>
          <w:rFonts w:ascii="Palatino Linotype" w:hAnsi="Palatino Linotype"/>
          <w:i/>
        </w:rPr>
        <w:t>.</w:t>
      </w:r>
    </w:p>
    <w:p w:rsidR="00D46E9C" w:rsidRDefault="00D46E9C" w:rsidP="00492F8D">
      <w:pPr>
        <w:pStyle w:val="Prrafodelista"/>
        <w:spacing w:before="240" w:after="240" w:line="360" w:lineRule="auto"/>
        <w:ind w:left="0" w:right="-3"/>
        <w:contextualSpacing w:val="0"/>
        <w:jc w:val="both"/>
        <w:rPr>
          <w:rFonts w:ascii="Palatino Linotype" w:hAnsi="Palatino Linotype"/>
          <w:b/>
          <w:i/>
        </w:rPr>
      </w:pPr>
      <w:r w:rsidRPr="00D46E9C">
        <w:rPr>
          <w:rFonts w:ascii="Palatino Linotype" w:hAnsi="Palatino Linotype"/>
        </w:rPr>
        <w:t xml:space="preserve">En </w:t>
      </w:r>
      <w:r>
        <w:rPr>
          <w:rFonts w:ascii="Palatino Linotype" w:hAnsi="Palatino Linotype"/>
        </w:rPr>
        <w:t xml:space="preserve">ese contexto, de los documentos que obran agregados en el expediente </w:t>
      </w:r>
      <w:r w:rsidR="00BA1AB7">
        <w:rPr>
          <w:rFonts w:ascii="Palatino Linotype" w:hAnsi="Palatino Linotype"/>
        </w:rPr>
        <w:t>electrónico</w:t>
      </w:r>
      <w:r>
        <w:rPr>
          <w:rFonts w:ascii="Palatino Linotype" w:hAnsi="Palatino Linotype"/>
        </w:rPr>
        <w:t xml:space="preserve"> del recurso de revision 2957/IN</w:t>
      </w:r>
      <w:r w:rsidR="00BA1AB7">
        <w:rPr>
          <w:rFonts w:ascii="Palatino Linotype" w:hAnsi="Palatino Linotype"/>
        </w:rPr>
        <w:t>F</w:t>
      </w:r>
      <w:r>
        <w:rPr>
          <w:rFonts w:ascii="Palatino Linotype" w:hAnsi="Palatino Linotype"/>
        </w:rPr>
        <w:t xml:space="preserve">OEM/AD/RR/2018, no obra documento que acredite </w:t>
      </w:r>
      <w:r>
        <w:rPr>
          <w:rFonts w:ascii="Palatino Linotype" w:hAnsi="Palatino Linotype"/>
        </w:rPr>
        <w:lastRenderedPageBreak/>
        <w:t xml:space="preserve">que la </w:t>
      </w:r>
      <w:r>
        <w:rPr>
          <w:rFonts w:ascii="Palatino Linotype" w:hAnsi="Palatino Linotype"/>
          <w:b/>
          <w:i/>
        </w:rPr>
        <w:t xml:space="preserve">Recurrente </w:t>
      </w:r>
      <w:r>
        <w:rPr>
          <w:rFonts w:ascii="Palatino Linotype" w:hAnsi="Palatino Linotype"/>
        </w:rPr>
        <w:t xml:space="preserve">sea la persona a quien el “cujus” otorgara poder amplio y representación en los asuntos relativos a sus derechos y obligaciones, puesto que sólo se advierte un documento mediante el cual </w:t>
      </w:r>
      <w:r w:rsidR="007C207E">
        <w:rPr>
          <w:rFonts w:ascii="Palatino Linotype" w:hAnsi="Palatino Linotype"/>
        </w:rPr>
        <w:t xml:space="preserve">se designó como beneficiarios para el cobro del seguro de fallecimiento del Instituto de Seguridad Social del Estado de México y Municipios, a cuatro personas entre las que se encuentra la hoy </w:t>
      </w:r>
      <w:r w:rsidR="007C207E">
        <w:rPr>
          <w:rFonts w:ascii="Palatino Linotype" w:hAnsi="Palatino Linotype"/>
          <w:b/>
          <w:i/>
        </w:rPr>
        <w:t>Recurrente.</w:t>
      </w:r>
    </w:p>
    <w:p w:rsidR="007C207E" w:rsidRDefault="007C207E" w:rsidP="00492F8D">
      <w:pPr>
        <w:pStyle w:val="Prrafodelista"/>
        <w:spacing w:before="240" w:after="240" w:line="360" w:lineRule="auto"/>
        <w:ind w:left="0" w:right="-3"/>
        <w:contextualSpacing w:val="0"/>
        <w:jc w:val="both"/>
        <w:rPr>
          <w:rFonts w:ascii="Palatino Linotype" w:hAnsi="Palatino Linotype"/>
        </w:rPr>
      </w:pPr>
      <w:r>
        <w:rPr>
          <w:rFonts w:ascii="Palatino Linotype" w:hAnsi="Palatino Linotype"/>
        </w:rPr>
        <w:t>Sin embargo, dicho documento no permite acreditar el interés legítimo para conocer la información materia de la solicitud, ni tampoco que fuera la persona legalmente reconocida como representante.</w:t>
      </w:r>
    </w:p>
    <w:p w:rsidR="00D45D0A" w:rsidRDefault="007C207E" w:rsidP="00D45D0A">
      <w:pPr>
        <w:pStyle w:val="Textonotapie"/>
        <w:spacing w:before="240" w:after="240" w:line="360" w:lineRule="auto"/>
        <w:jc w:val="both"/>
        <w:rPr>
          <w:rFonts w:ascii="Palatino Linotype" w:hAnsi="Palatino Linotype"/>
          <w:sz w:val="24"/>
          <w:szCs w:val="24"/>
        </w:rPr>
      </w:pPr>
      <w:r w:rsidRPr="00D45D0A">
        <w:rPr>
          <w:rFonts w:ascii="Palatino Linotype" w:hAnsi="Palatino Linotype"/>
          <w:sz w:val="24"/>
          <w:szCs w:val="24"/>
        </w:rPr>
        <w:t xml:space="preserve">Por lo que consideró, que debió prevalecer el interés de proteger información del “Cujus” sobre el interés individual de la </w:t>
      </w:r>
      <w:r w:rsidRPr="00D45D0A">
        <w:rPr>
          <w:rFonts w:ascii="Palatino Linotype" w:hAnsi="Palatino Linotype"/>
          <w:b/>
          <w:i/>
          <w:sz w:val="24"/>
          <w:szCs w:val="24"/>
        </w:rPr>
        <w:t xml:space="preserve">Recurrente </w:t>
      </w:r>
      <w:r w:rsidRPr="00D45D0A">
        <w:rPr>
          <w:rFonts w:ascii="Palatino Linotype" w:hAnsi="Palatino Linotype"/>
          <w:sz w:val="24"/>
          <w:szCs w:val="24"/>
        </w:rPr>
        <w:t>de conocer la información</w:t>
      </w:r>
      <w:r w:rsidR="00D45D0A">
        <w:rPr>
          <w:rFonts w:ascii="Palatino Linotype" w:hAnsi="Palatino Linotype"/>
          <w:sz w:val="24"/>
          <w:szCs w:val="24"/>
        </w:rPr>
        <w:t>;</w:t>
      </w:r>
      <w:r w:rsidRPr="00D45D0A">
        <w:rPr>
          <w:rFonts w:ascii="Palatino Linotype" w:hAnsi="Palatino Linotype"/>
          <w:sz w:val="24"/>
          <w:szCs w:val="24"/>
        </w:rPr>
        <w:t xml:space="preserve"> toda vez que existen situaciones en las que la apertura de la información causa daños mayores </w:t>
      </w:r>
      <w:r w:rsidR="000D43F9" w:rsidRPr="00D45D0A">
        <w:rPr>
          <w:rFonts w:ascii="Palatino Linotype" w:hAnsi="Palatino Linotype"/>
          <w:sz w:val="24"/>
          <w:szCs w:val="24"/>
        </w:rPr>
        <w:t>a los particulares</w:t>
      </w:r>
      <w:r w:rsidR="00D45D0A">
        <w:rPr>
          <w:rFonts w:ascii="Palatino Linotype" w:hAnsi="Palatino Linotype"/>
          <w:sz w:val="24"/>
          <w:szCs w:val="24"/>
        </w:rPr>
        <w:t>.</w:t>
      </w:r>
    </w:p>
    <w:p w:rsidR="00D45D0A" w:rsidRDefault="00D45D0A" w:rsidP="00D45D0A">
      <w:pPr>
        <w:pStyle w:val="Textonotapie"/>
        <w:spacing w:before="240" w:after="240" w:line="360" w:lineRule="auto"/>
        <w:jc w:val="both"/>
        <w:rPr>
          <w:rFonts w:ascii="Palatino Linotype" w:hAnsi="Palatino Linotype"/>
          <w:sz w:val="24"/>
          <w:szCs w:val="24"/>
        </w:rPr>
      </w:pPr>
      <w:r>
        <w:rPr>
          <w:rFonts w:ascii="Palatino Linotype" w:hAnsi="Palatino Linotype"/>
          <w:sz w:val="24"/>
          <w:szCs w:val="24"/>
        </w:rPr>
        <w:t>E</w:t>
      </w:r>
      <w:r w:rsidR="000D43F9" w:rsidRPr="00D45D0A">
        <w:rPr>
          <w:rFonts w:ascii="Palatino Linotype" w:hAnsi="Palatino Linotype"/>
          <w:sz w:val="24"/>
          <w:szCs w:val="24"/>
        </w:rPr>
        <w:t>n el caso, considero que se encuentran en conflicto</w:t>
      </w:r>
      <w:r>
        <w:rPr>
          <w:rFonts w:ascii="Palatino Linotype" w:hAnsi="Palatino Linotype"/>
          <w:sz w:val="24"/>
          <w:szCs w:val="24"/>
        </w:rPr>
        <w:t>:</w:t>
      </w:r>
    </w:p>
    <w:p w:rsidR="00D45D0A" w:rsidRDefault="00D45D0A" w:rsidP="00D45D0A">
      <w:pPr>
        <w:pStyle w:val="Textonotapie"/>
        <w:numPr>
          <w:ilvl w:val="0"/>
          <w:numId w:val="4"/>
        </w:numPr>
        <w:spacing w:before="240" w:after="240" w:line="360" w:lineRule="auto"/>
        <w:jc w:val="both"/>
        <w:rPr>
          <w:rFonts w:ascii="Palatino Linotype" w:hAnsi="Palatino Linotype"/>
          <w:sz w:val="24"/>
          <w:szCs w:val="24"/>
        </w:rPr>
      </w:pPr>
      <w:r>
        <w:rPr>
          <w:rFonts w:ascii="Palatino Linotype" w:hAnsi="Palatino Linotype"/>
          <w:sz w:val="24"/>
          <w:szCs w:val="24"/>
        </w:rPr>
        <w:t>E</w:t>
      </w:r>
      <w:r w:rsidR="000D43F9" w:rsidRPr="00D45D0A">
        <w:rPr>
          <w:rFonts w:ascii="Palatino Linotype" w:hAnsi="Palatino Linotype"/>
          <w:sz w:val="24"/>
          <w:szCs w:val="24"/>
        </w:rPr>
        <w:t xml:space="preserve">l derecho a la honra </w:t>
      </w:r>
      <w:r w:rsidRPr="00D45D0A">
        <w:rPr>
          <w:rFonts w:ascii="Palatino Linotype" w:hAnsi="Palatino Linotype"/>
          <w:sz w:val="24"/>
          <w:szCs w:val="24"/>
        </w:rPr>
        <w:t xml:space="preserve">de la persona fallecida, que constituye una </w:t>
      </w:r>
      <w:r w:rsidRPr="00D45D0A">
        <w:rPr>
          <w:rFonts w:ascii="Palatino Linotype" w:hAnsi="Palatino Linotype"/>
          <w:sz w:val="24"/>
          <w:szCs w:val="24"/>
        </w:rPr>
        <w:t xml:space="preserve">prolongación de dicha personalidad, </w:t>
      </w:r>
      <w:r>
        <w:rPr>
          <w:rFonts w:ascii="Palatino Linotype" w:hAnsi="Palatino Linotype"/>
          <w:sz w:val="24"/>
          <w:szCs w:val="24"/>
        </w:rPr>
        <w:t>en virtud de que</w:t>
      </w:r>
      <w:r w:rsidRPr="00D45D0A">
        <w:rPr>
          <w:rFonts w:ascii="Palatino Linotype" w:hAnsi="Palatino Linotype"/>
          <w:sz w:val="24"/>
          <w:szCs w:val="24"/>
        </w:rPr>
        <w:t xml:space="preserve"> la muerte de una persona no implica que se extingan sus vínculos con la sociedad, en razón de que existen ciertas circunstancias que precisan de una protección jurídica</w:t>
      </w:r>
      <w:r>
        <w:rPr>
          <w:rFonts w:ascii="Palatino Linotype" w:hAnsi="Palatino Linotype"/>
          <w:sz w:val="24"/>
          <w:szCs w:val="24"/>
        </w:rPr>
        <w:t>.</w:t>
      </w:r>
    </w:p>
    <w:p w:rsidR="00D45D0A" w:rsidRDefault="00D45D0A" w:rsidP="00D45D0A">
      <w:pPr>
        <w:pStyle w:val="Textonotapie"/>
        <w:numPr>
          <w:ilvl w:val="0"/>
          <w:numId w:val="4"/>
        </w:numPr>
        <w:spacing w:before="240" w:after="240" w:line="360" w:lineRule="auto"/>
        <w:jc w:val="both"/>
        <w:rPr>
          <w:rFonts w:ascii="Palatino Linotype" w:hAnsi="Palatino Linotype"/>
          <w:sz w:val="24"/>
          <w:szCs w:val="24"/>
        </w:rPr>
      </w:pPr>
      <w:r>
        <w:rPr>
          <w:rFonts w:ascii="Palatino Linotype" w:hAnsi="Palatino Linotype"/>
          <w:sz w:val="24"/>
          <w:szCs w:val="24"/>
        </w:rPr>
        <w:t>D</w:t>
      </w:r>
      <w:r w:rsidRPr="00D45D0A">
        <w:rPr>
          <w:rFonts w:ascii="Palatino Linotype" w:hAnsi="Palatino Linotype"/>
          <w:sz w:val="24"/>
          <w:szCs w:val="24"/>
        </w:rPr>
        <w:t xml:space="preserve">ivulgar datos personas </w:t>
      </w:r>
      <w:r>
        <w:rPr>
          <w:rFonts w:ascii="Palatino Linotype" w:hAnsi="Palatino Linotype"/>
          <w:sz w:val="24"/>
          <w:szCs w:val="24"/>
        </w:rPr>
        <w:t>fallecidas</w:t>
      </w:r>
      <w:r w:rsidRPr="00D45D0A">
        <w:rPr>
          <w:rFonts w:ascii="Palatino Linotype" w:hAnsi="Palatino Linotype"/>
          <w:sz w:val="24"/>
          <w:szCs w:val="24"/>
        </w:rPr>
        <w:t xml:space="preserve"> puede afectar derechos de terceros</w:t>
      </w:r>
      <w:r>
        <w:rPr>
          <w:rFonts w:ascii="Palatino Linotype" w:hAnsi="Palatino Linotype"/>
          <w:sz w:val="24"/>
          <w:szCs w:val="24"/>
        </w:rPr>
        <w:t>.</w:t>
      </w:r>
    </w:p>
    <w:p w:rsidR="00D45D0A" w:rsidRPr="00D45D0A" w:rsidRDefault="00D45D0A" w:rsidP="00D45D0A">
      <w:pPr>
        <w:pStyle w:val="Textonotapie"/>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En ese sentido, la </w:t>
      </w:r>
      <w:r w:rsidRPr="00D45D0A">
        <w:rPr>
          <w:rFonts w:ascii="Palatino Linotype" w:hAnsi="Palatino Linotype"/>
          <w:sz w:val="24"/>
          <w:szCs w:val="24"/>
        </w:rPr>
        <w:t xml:space="preserve">Unión Europea </w:t>
      </w:r>
      <w:r>
        <w:rPr>
          <w:rFonts w:ascii="Palatino Linotype" w:hAnsi="Palatino Linotype"/>
          <w:sz w:val="24"/>
          <w:szCs w:val="24"/>
        </w:rPr>
        <w:t>se pronunci</w:t>
      </w:r>
      <w:r w:rsidR="00BA1AB7">
        <w:rPr>
          <w:rFonts w:ascii="Palatino Linotype" w:hAnsi="Palatino Linotype"/>
          <w:sz w:val="24"/>
          <w:szCs w:val="24"/>
        </w:rPr>
        <w:t>ó</w:t>
      </w:r>
      <w:r>
        <w:rPr>
          <w:rFonts w:ascii="Palatino Linotype" w:hAnsi="Palatino Linotype"/>
          <w:sz w:val="24"/>
          <w:szCs w:val="24"/>
        </w:rPr>
        <w:t xml:space="preserve"> </w:t>
      </w:r>
      <w:r w:rsidRPr="00D45D0A">
        <w:rPr>
          <w:rFonts w:ascii="Palatino Linotype" w:hAnsi="Palatino Linotype"/>
          <w:sz w:val="24"/>
          <w:szCs w:val="24"/>
        </w:rPr>
        <w:t>en el dictamen 4/2007 relativo a los datos de las personas fallecidas, expuesto por el Grupo de Trabajo conformado para el estudio del artículo 29 de la Directiva 95/46/CE, mismo que se trascribe a continuación:</w:t>
      </w:r>
    </w:p>
    <w:p w:rsidR="00D45D0A" w:rsidRPr="00D45D0A" w:rsidRDefault="00D45D0A" w:rsidP="00D45D0A">
      <w:pPr>
        <w:pStyle w:val="Textonotapie"/>
        <w:spacing w:after="120"/>
        <w:ind w:left="567" w:right="618"/>
        <w:jc w:val="both"/>
        <w:rPr>
          <w:rFonts w:ascii="Palatino Linotype" w:hAnsi="Palatino Linotype"/>
          <w:i/>
        </w:rPr>
      </w:pPr>
      <w:r w:rsidRPr="00D45D0A">
        <w:rPr>
          <w:rFonts w:ascii="Palatino Linotype" w:hAnsi="Palatino Linotype"/>
          <w:i/>
        </w:rPr>
        <w:t>“Datos de personas fallecidas. En principio, la información relativa a personas fallecidas, no se debe considerar como datos personales sujetos a las normas de la Directiva, ya que los difuntos dejan de ser personas físicas para el derecho civil. Sin embargo, en determinados</w:t>
      </w:r>
      <w:r w:rsidRPr="00D45D0A">
        <w:rPr>
          <w:rFonts w:ascii="Palatino Linotype" w:hAnsi="Palatino Linotype"/>
          <w:i/>
        </w:rPr>
        <w:t xml:space="preserve"> </w:t>
      </w:r>
      <w:r w:rsidRPr="00D45D0A">
        <w:rPr>
          <w:rFonts w:ascii="Palatino Linotype" w:hAnsi="Palatino Linotype"/>
          <w:i/>
        </w:rPr>
        <w:t xml:space="preserve">casos los datos de los difuntos aún pueden recibir indirectamente cierta protección. En primer lugar, el responsable de los datos quizá no pueda saber a ciencia cierta si la persona a la que se refiere los datos aún está viva o ha fallecido. O aunque pueda saberlo, la información sobre los muertos puede tratarse exactamente de la misma manera relativa a los vivos. Como el responsable de los datos está sujeto a las obligaciones sobre la protección de datos que impone la Directiva en lo referente a los datos sobre las personas vivas, probablemente le resulte más fácil en la práctica tratar también los datos sobre los muertos de la misma manera, en vez de distinguir entre los dos grupos de datos. En segundo lugar, la información sobre personas fallecidas también puede hacer referencia a personas vivas Por ejemplo, la información de que Menganita, ya fallecida, era portadora del gen de la hemofilia indica que su hijo Fulano también puede sufrir la misma enfermedad, pues dicha enfermedad está ligada a un gen contenido en el cromosoma X. Así pues, </w:t>
      </w:r>
      <w:r w:rsidRPr="00D45D0A">
        <w:rPr>
          <w:rFonts w:ascii="Palatino Linotype" w:hAnsi="Palatino Linotype"/>
          <w:i/>
          <w:u w:val="single"/>
        </w:rPr>
        <w:t>cuando se considere que la información proporcionada por los datos de una persona fallecida también se refiere al mismo tiempo a una viva, constituyendo datos personales sujetos a la Directiva, los datos personales del difunto podrán disfrutar indirectamente del amparo de las normas de protección de datos</w:t>
      </w:r>
      <w:r w:rsidRPr="00D45D0A">
        <w:rPr>
          <w:rFonts w:ascii="Palatino Linotype" w:hAnsi="Palatino Linotype"/>
          <w:i/>
        </w:rPr>
        <w:t>. En tercer lugar, la información sobre personas fallecidas puede estar sujeta a una protección específica proporcionada por normas distintas de las de protección de datos, que establezcan las líneas de los que algunos llaman la “personalidad pretérita”. La obligación de confidencialidad del personal médico no termia con la muerte del paciente La legislación nacional sobre el derecho a la propia imagen y al honor también puede ofrecer protección a la memoria de los muertos.”</w:t>
      </w:r>
    </w:p>
    <w:p w:rsidR="00D45D0A" w:rsidRPr="00D45D0A" w:rsidRDefault="00D45D0A" w:rsidP="00D45D0A">
      <w:pPr>
        <w:spacing w:before="240" w:after="240" w:line="360" w:lineRule="auto"/>
        <w:jc w:val="both"/>
        <w:rPr>
          <w:rFonts w:ascii="Palatino Linotype" w:hAnsi="Palatino Linotype" w:cs="Arial"/>
          <w:sz w:val="24"/>
          <w:szCs w:val="24"/>
        </w:rPr>
      </w:pPr>
      <w:r w:rsidRPr="00D45D0A">
        <w:rPr>
          <w:rFonts w:ascii="Palatino Linotype" w:hAnsi="Palatino Linotype"/>
          <w:sz w:val="24"/>
          <w:szCs w:val="24"/>
        </w:rPr>
        <w:t xml:space="preserve">En ese entendido, tanto los Sujetos Obligados como este Instituto estamos obligados </w:t>
      </w:r>
      <w:r>
        <w:rPr>
          <w:rFonts w:ascii="Palatino Linotype" w:hAnsi="Palatino Linotype" w:cs="Arial"/>
          <w:sz w:val="24"/>
          <w:szCs w:val="24"/>
        </w:rPr>
        <w:t>a</w:t>
      </w:r>
      <w:r w:rsidRPr="00D45D0A">
        <w:rPr>
          <w:rFonts w:ascii="Palatino Linotype" w:hAnsi="Palatino Linotype" w:cs="Arial"/>
          <w:sz w:val="24"/>
          <w:szCs w:val="24"/>
        </w:rPr>
        <w:t xml:space="preserve"> </w:t>
      </w:r>
      <w:r>
        <w:rPr>
          <w:rFonts w:ascii="Palatino Linotype" w:hAnsi="Palatino Linotype" w:cs="Arial"/>
          <w:sz w:val="24"/>
          <w:szCs w:val="24"/>
        </w:rPr>
        <w:t>proteger</w:t>
      </w:r>
      <w:r w:rsidRPr="00D45D0A">
        <w:rPr>
          <w:rFonts w:ascii="Palatino Linotype" w:hAnsi="Palatino Linotype" w:cs="Arial"/>
          <w:sz w:val="24"/>
          <w:szCs w:val="24"/>
        </w:rPr>
        <w:t xml:space="preserve"> los datos personales que obren e</w:t>
      </w:r>
      <w:r>
        <w:rPr>
          <w:rFonts w:ascii="Palatino Linotype" w:hAnsi="Palatino Linotype" w:cs="Arial"/>
          <w:sz w:val="24"/>
          <w:szCs w:val="24"/>
        </w:rPr>
        <w:t xml:space="preserve">n nuestro poder, </w:t>
      </w:r>
      <w:r w:rsidRPr="00D45D0A">
        <w:rPr>
          <w:rFonts w:ascii="Palatino Linotype" w:hAnsi="Palatino Linotype" w:cs="Arial"/>
          <w:sz w:val="24"/>
          <w:szCs w:val="24"/>
        </w:rPr>
        <w:t>adopta</w:t>
      </w:r>
      <w:r>
        <w:rPr>
          <w:rFonts w:ascii="Palatino Linotype" w:hAnsi="Palatino Linotype" w:cs="Arial"/>
          <w:sz w:val="24"/>
          <w:szCs w:val="24"/>
        </w:rPr>
        <w:t>ndo</w:t>
      </w:r>
      <w:r w:rsidRPr="00D45D0A">
        <w:rPr>
          <w:rFonts w:ascii="Palatino Linotype" w:hAnsi="Palatino Linotype" w:cs="Arial"/>
          <w:sz w:val="24"/>
          <w:szCs w:val="24"/>
        </w:rPr>
        <w:t xml:space="preserve"> las medidas de seguridad administrativa, física y técnica necesarias para garantizar la integridad, confidencialidad y disponibilidad de los datos personales</w:t>
      </w:r>
      <w:r w:rsidR="004D7986">
        <w:rPr>
          <w:rFonts w:ascii="Palatino Linotype" w:hAnsi="Palatino Linotype" w:cs="Arial"/>
          <w:sz w:val="24"/>
          <w:szCs w:val="24"/>
        </w:rPr>
        <w:t xml:space="preserve"> </w:t>
      </w:r>
      <w:r w:rsidR="004D7986" w:rsidRPr="004D7986">
        <w:rPr>
          <w:rFonts w:ascii="Palatino Linotype" w:hAnsi="Palatino Linotype"/>
          <w:sz w:val="24"/>
          <w:szCs w:val="24"/>
        </w:rPr>
        <w:t xml:space="preserve">a través de controles y </w:t>
      </w:r>
      <w:r w:rsidR="004D7986" w:rsidRPr="004D7986">
        <w:rPr>
          <w:rFonts w:ascii="Palatino Linotype" w:hAnsi="Palatino Linotype"/>
          <w:sz w:val="24"/>
          <w:szCs w:val="24"/>
        </w:rPr>
        <w:lastRenderedPageBreak/>
        <w:t>acciones que eviten su daño, alteración, pérdida, destrucción, o el uso, transferencia, acceso o cualquier tratamiento no autorizado o ilícito</w:t>
      </w:r>
      <w:r w:rsidRPr="00D45D0A">
        <w:rPr>
          <w:rFonts w:ascii="Palatino Linotype" w:hAnsi="Palatino Linotype" w:cs="Arial"/>
          <w:sz w:val="24"/>
          <w:szCs w:val="24"/>
        </w:rPr>
        <w:t xml:space="preserve">, lo anterior en términos de </w:t>
      </w:r>
      <w:r w:rsidR="004D7986">
        <w:rPr>
          <w:rFonts w:ascii="Palatino Linotype" w:hAnsi="Palatino Linotype" w:cs="Arial"/>
          <w:sz w:val="24"/>
          <w:szCs w:val="24"/>
        </w:rPr>
        <w:t>lo dispuesto por el artículo 3</w:t>
      </w:r>
      <w:r w:rsidRPr="00D45D0A">
        <w:rPr>
          <w:rFonts w:ascii="Palatino Linotype" w:hAnsi="Palatino Linotype" w:cs="Arial"/>
          <w:sz w:val="24"/>
          <w:szCs w:val="24"/>
        </w:rPr>
        <w:t xml:space="preserve">8 de la Ley de Protección de Datos Personales </w:t>
      </w:r>
      <w:r w:rsidR="004D7986">
        <w:rPr>
          <w:rFonts w:ascii="Palatino Linotype" w:hAnsi="Palatino Linotype" w:cs="Arial"/>
          <w:sz w:val="24"/>
          <w:szCs w:val="24"/>
        </w:rPr>
        <w:t xml:space="preserve">en Posesión de Sujetos Obligados </w:t>
      </w:r>
      <w:r w:rsidRPr="00D45D0A">
        <w:rPr>
          <w:rFonts w:ascii="Palatino Linotype" w:hAnsi="Palatino Linotype" w:cs="Arial"/>
          <w:sz w:val="24"/>
          <w:szCs w:val="24"/>
        </w:rPr>
        <w:t>del Estado de México</w:t>
      </w:r>
      <w:r w:rsidR="004D7986">
        <w:rPr>
          <w:rFonts w:ascii="Palatino Linotype" w:hAnsi="Palatino Linotype" w:cs="Arial"/>
          <w:sz w:val="24"/>
          <w:szCs w:val="24"/>
        </w:rPr>
        <w:t xml:space="preserve"> y Municipios.</w:t>
      </w:r>
      <w:r w:rsidRPr="00D45D0A">
        <w:rPr>
          <w:rFonts w:ascii="Palatino Linotype" w:hAnsi="Palatino Linotype" w:cs="Arial"/>
          <w:sz w:val="24"/>
          <w:szCs w:val="24"/>
        </w:rPr>
        <w:t xml:space="preserve"> </w:t>
      </w:r>
    </w:p>
    <w:p w:rsidR="0019473A" w:rsidRDefault="0019473A" w:rsidP="00D45D0A">
      <w:pPr>
        <w:pStyle w:val="Prrafodelista"/>
        <w:spacing w:before="240" w:after="240" w:line="360" w:lineRule="auto"/>
        <w:ind w:left="0" w:right="-3"/>
        <w:contextualSpacing w:val="0"/>
        <w:jc w:val="both"/>
        <w:rPr>
          <w:rFonts w:ascii="Palatino Linotype" w:hAnsi="Palatino Linotype"/>
        </w:rPr>
      </w:pPr>
      <w:r>
        <w:rPr>
          <w:rFonts w:ascii="Palatino Linotype" w:hAnsi="Palatino Linotype"/>
        </w:rPr>
        <w:t>De manera, que si el descuento por mutualidad de los años 2013 y 2014 del Sindicato de Maestros al Servicio del Estado de México (Suteym) corresponde al fondo de reserva formado con el descuento del 1% del sueldo base de los afiliados, en favor de sus agremiados mutualista o de sus familiares económicos según su</w:t>
      </w:r>
      <w:r w:rsidR="00E50D3E">
        <w:rPr>
          <w:rFonts w:ascii="Palatino Linotype" w:hAnsi="Palatino Linotype"/>
        </w:rPr>
        <w:t>b</w:t>
      </w:r>
      <w:r w:rsidR="00B83150">
        <w:rPr>
          <w:rFonts w:ascii="Palatino Linotype" w:hAnsi="Palatino Linotype"/>
        </w:rPr>
        <w:t xml:space="preserve">sistan en el momento de deceso; que </w:t>
      </w:r>
      <w:r w:rsidR="00E50D3E">
        <w:rPr>
          <w:rFonts w:ascii="Palatino Linotype" w:hAnsi="Palatino Linotype"/>
        </w:rPr>
        <w:t xml:space="preserve">serán designados por el servidor público mutualista y el jubilado o pensionado en los porcentajes que así señale, con el objetivo de que </w:t>
      </w:r>
      <w:r w:rsidR="00B83150">
        <w:rPr>
          <w:rFonts w:ascii="Palatino Linotype" w:hAnsi="Palatino Linotype"/>
        </w:rPr>
        <w:t>reciban</w:t>
      </w:r>
      <w:r w:rsidR="00E50D3E">
        <w:rPr>
          <w:rFonts w:ascii="Palatino Linotype" w:hAnsi="Palatino Linotype"/>
        </w:rPr>
        <w:t xml:space="preserve"> en el momento de su deceso</w:t>
      </w:r>
      <w:r w:rsidR="00B83150">
        <w:rPr>
          <w:rFonts w:ascii="Palatino Linotype" w:hAnsi="Palatino Linotype"/>
        </w:rPr>
        <w:t>,</w:t>
      </w:r>
      <w:r w:rsidR="00E50D3E">
        <w:rPr>
          <w:rFonts w:ascii="Palatino Linotype" w:hAnsi="Palatino Linotype"/>
        </w:rPr>
        <w:t xml:space="preserve"> la cantidad equivalente a diez veces el salario mínimo en vigor en el tabulador de salario del Ejecutivo del Estado</w:t>
      </w:r>
      <w:r w:rsidR="00E50D3E">
        <w:rPr>
          <w:rStyle w:val="Refdenotaalpie"/>
          <w:rFonts w:ascii="Palatino Linotype" w:hAnsi="Palatino Linotype"/>
        </w:rPr>
        <w:footnoteReference w:id="1"/>
      </w:r>
      <w:r w:rsidR="00E50D3E">
        <w:rPr>
          <w:rFonts w:ascii="Palatino Linotype" w:hAnsi="Palatino Linotype"/>
        </w:rPr>
        <w:t xml:space="preserve">, </w:t>
      </w:r>
      <w:r w:rsidR="00B83150">
        <w:rPr>
          <w:rFonts w:ascii="Palatino Linotype" w:hAnsi="Palatino Linotype"/>
        </w:rPr>
        <w:t xml:space="preserve">se presume que se encuentran en conflicto intereses de las personas también señaladas como </w:t>
      </w:r>
      <w:r w:rsidR="00B83150">
        <w:rPr>
          <w:rFonts w:ascii="Palatino Linotype" w:hAnsi="Palatino Linotype"/>
        </w:rPr>
        <w:lastRenderedPageBreak/>
        <w:t>benefi</w:t>
      </w:r>
      <w:r w:rsidR="0009470D">
        <w:rPr>
          <w:rFonts w:ascii="Palatino Linotype" w:hAnsi="Palatino Linotype"/>
        </w:rPr>
        <w:t>ci</w:t>
      </w:r>
      <w:r w:rsidR="00B83150">
        <w:rPr>
          <w:rFonts w:ascii="Palatino Linotype" w:hAnsi="Palatino Linotype"/>
        </w:rPr>
        <w:t>a</w:t>
      </w:r>
      <w:r w:rsidR="0009470D">
        <w:rPr>
          <w:rFonts w:ascii="Palatino Linotype" w:hAnsi="Palatino Linotype"/>
        </w:rPr>
        <w:t>r</w:t>
      </w:r>
      <w:r w:rsidR="00B83150">
        <w:rPr>
          <w:rFonts w:ascii="Palatino Linotype" w:hAnsi="Palatino Linotype"/>
        </w:rPr>
        <w:t>ios para el cobro del seguro de fallecimiento de Instituto de Seguridad Social del Estado de México y Municipios.</w:t>
      </w:r>
    </w:p>
    <w:p w:rsidR="00B83150" w:rsidRDefault="00B83150" w:rsidP="00D45D0A">
      <w:pPr>
        <w:pStyle w:val="Prrafodelista"/>
        <w:spacing w:before="240" w:after="240" w:line="360" w:lineRule="auto"/>
        <w:ind w:left="0" w:right="-3"/>
        <w:contextualSpacing w:val="0"/>
        <w:jc w:val="both"/>
        <w:rPr>
          <w:rFonts w:ascii="Palatino Linotype" w:hAnsi="Palatino Linotype"/>
        </w:rPr>
      </w:pPr>
      <w:r>
        <w:rPr>
          <w:rFonts w:ascii="Palatino Linotype" w:hAnsi="Palatino Linotype"/>
        </w:rPr>
        <w:t xml:space="preserve">En consecuencia la apertura de la información pudiera estar vulnerando derechos de terceras personas, </w:t>
      </w:r>
      <w:r w:rsidR="00B979A9">
        <w:rPr>
          <w:rFonts w:ascii="Palatino Linotype" w:hAnsi="Palatino Linotype"/>
        </w:rPr>
        <w:t>al</w:t>
      </w:r>
      <w:r>
        <w:rPr>
          <w:rFonts w:ascii="Palatino Linotype" w:hAnsi="Palatino Linotype"/>
        </w:rPr>
        <w:t xml:space="preserve"> encontrarse la </w:t>
      </w:r>
      <w:r>
        <w:rPr>
          <w:rFonts w:ascii="Palatino Linotype" w:hAnsi="Palatino Linotype"/>
          <w:b/>
          <w:i/>
        </w:rPr>
        <w:t xml:space="preserve">Recurrente </w:t>
      </w:r>
      <w:r>
        <w:rPr>
          <w:rFonts w:ascii="Palatino Linotype" w:hAnsi="Palatino Linotype"/>
        </w:rPr>
        <w:t xml:space="preserve">en ventaja sobre los otros beneficiarios, puesto que se considera que el documento solicitado es para solicitar el reconocimiento de los descuentos hechos al </w:t>
      </w:r>
      <w:r w:rsidR="002B328E">
        <w:rPr>
          <w:rFonts w:ascii="Palatino Linotype" w:hAnsi="Palatino Linotype"/>
        </w:rPr>
        <w:t xml:space="preserve">de </w:t>
      </w:r>
      <w:r>
        <w:rPr>
          <w:rFonts w:ascii="Palatino Linotype" w:hAnsi="Palatino Linotype"/>
        </w:rPr>
        <w:t>“Cujus” para posteriormente reclamar el pago por mutualidad, interés que en todo caso, tienen el resto de los beneficiarios.</w:t>
      </w:r>
    </w:p>
    <w:p w:rsidR="007557DD" w:rsidRDefault="00B83150" w:rsidP="00492F8D">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lo que consideró que debió sujetarse el acceso a los datos personales previa acreditación del interés legítimo y único de la </w:t>
      </w:r>
      <w:r w:rsidR="007557DD">
        <w:rPr>
          <w:rFonts w:ascii="Palatino Linotype" w:hAnsi="Palatino Linotype" w:cs="Arial"/>
          <w:sz w:val="24"/>
          <w:szCs w:val="24"/>
        </w:rPr>
        <w:t>particular a efecto de no vulnerar otros derechos, puesto que si bien existe una conducta administrativa determina susceptible de causar un perjuicio o generar un beneficio al interesado, dicho derecho también puede encontrarse a favor de otras personas y por ende se provocaría su afectación, por lo que a través de la acreditación del interés legítimo se logra una protección más amplia y eficaz de los derechos, lo cual encuentra sustento en la jurisprudencia</w:t>
      </w:r>
      <w:r w:rsidR="003608FE">
        <w:rPr>
          <w:rFonts w:ascii="Palatino Linotype" w:hAnsi="Palatino Linotype" w:cs="Arial"/>
          <w:sz w:val="24"/>
          <w:szCs w:val="24"/>
        </w:rPr>
        <w:t xml:space="preserve"> de la Suprema C</w:t>
      </w:r>
      <w:bookmarkStart w:id="0" w:name="_GoBack"/>
      <w:bookmarkEnd w:id="0"/>
      <w:r w:rsidR="007557DD">
        <w:rPr>
          <w:rFonts w:ascii="Palatino Linotype" w:hAnsi="Palatino Linotype" w:cs="Arial"/>
          <w:sz w:val="24"/>
          <w:szCs w:val="24"/>
        </w:rPr>
        <w:t>orte de Justicia de la Nación que es rubro y texto siguiente:</w:t>
      </w:r>
    </w:p>
    <w:p w:rsidR="007557DD" w:rsidRPr="007557DD" w:rsidRDefault="007557DD" w:rsidP="007557DD">
      <w:pPr>
        <w:spacing w:after="120" w:line="240" w:lineRule="auto"/>
        <w:ind w:left="851" w:right="992"/>
        <w:jc w:val="both"/>
        <w:rPr>
          <w:rFonts w:ascii="Palatino Linotype" w:hAnsi="Palatino Linotype" w:cs="Arial"/>
          <w:i/>
          <w:sz w:val="20"/>
          <w:szCs w:val="20"/>
        </w:rPr>
      </w:pPr>
      <w:r>
        <w:rPr>
          <w:rFonts w:ascii="Palatino Linotype" w:hAnsi="Palatino Linotype"/>
          <w:b/>
          <w:i/>
          <w:sz w:val="20"/>
          <w:szCs w:val="20"/>
        </w:rPr>
        <w:t>“</w:t>
      </w:r>
      <w:r w:rsidRPr="007557DD">
        <w:rPr>
          <w:rFonts w:ascii="Palatino Linotype" w:hAnsi="Palatino Linotype"/>
          <w:b/>
          <w:i/>
          <w:sz w:val="20"/>
          <w:szCs w:val="20"/>
        </w:rPr>
        <w:t>INTERÉS LEGÍTIMO, CONCEPTO DE, EN TÉRMINOS DEL ARTÍCULO 34 DE LA LEY DEL TRIBUNAL DE LO CONTENCIOSO ADMINISTRATIVO DEL DISTRITO FEDERAL.</w:t>
      </w:r>
      <w:r w:rsidRPr="007557DD">
        <w:rPr>
          <w:rFonts w:ascii="Palatino Linotype" w:hAnsi="Palatino Linotype"/>
          <w:i/>
          <w:sz w:val="20"/>
          <w:szCs w:val="20"/>
        </w:rPr>
        <w:t xml:space="preserve"> El artículo 34 de la Ley del Tribunal de lo Contencioso Administrativo del Distrito Federal precisa que sólo podrán intervenir en el juicio las personas que tengan interés legítimo en el mismo. Ahora bien, el interés legítimo se debe entender como aquel interés de cualquier persona, pública o privada, reconocido y protegido por el ordenamiento jurídico. Desde un punto de vista más estricto, como </w:t>
      </w:r>
      <w:r w:rsidRPr="007557DD">
        <w:rPr>
          <w:rFonts w:ascii="Palatino Linotype" w:hAnsi="Palatino Linotype"/>
          <w:i/>
          <w:sz w:val="20"/>
          <w:szCs w:val="20"/>
        </w:rPr>
        <w:lastRenderedPageBreak/>
        <w:t>concepto técnico y operativo, el interés legítimo es una situación jurídica activa que permite la actuación de un tercero y que no supone, a diferencia del derecho subjetivo, una obligación correlativa de dar, hacer o no hacer exigible a otra persona, pero sí otorga al interesado la facultad de exigir el respeto del ordenamiento jurídico y, en su caso, de exigir una reparación por los perjuicios antijurídicos que de esa actuación se deriven. En otras palabras, existe interés legítimo, en concreto en el derecho administrativo, cuando una conducta administrativa determinada es susceptible de causar un perjuicio o generar un beneficio en la situación fáctica del interesado, tutelada por el derecho, siendo así que éste no tiene un derecho subjetivo a exigir una determinada conducta o a que se imponga otra distinta, pero sí a exigir de la administración el respeto y debido cumplimiento de la norma jurídica. En tal caso, el titular del interés está legitimado para intervenir en el procedimiento administrativo correspondiente y para recurrir o actuar como parte en los procesos judiciales relacionados con el mismo, a efecto de defender esa situación de interés. El interés legítimo se encuentra intermedio entre el interés jurídico y el interés simple, y ha tenido primordial desenvolvimiento en el derecho administrativo; la existencia del interés legítimo se desprende de la base de que existen normas que imponen una conducta obligatoria de la administración, sin embargo, no requiere de la afectación a un derecho subjetivo, aunque sí a la esfera jurídica del particular, entendida ésta en un sentido amplio; a través del interés legítimo se logra una protección más amplia y eficaz de los derechos que no tienen el carácter de difusos, pero tampoco de derechos subjetivos. Así, podemos destacar las siguientes características que nos permiten definir al interés legítimo: 1) No es un mero interés por la legalidad de la actuación de la autoridad, requiere de la existencia de un interés personal, individual o colectivo, que se traduce en que de prosperar la acción se obtendría un beneficio jurídico en favor del accionante; 2) Está garantizado por el derecho objetivo, pero no da lugar a un derecho subjetivo, no hay potestad de uno frente a otro; 3) Un elemento que permite identificarlo plenamente es que es necesario que exista una afectación a la esfera jurídica en sentido amplio, ya sea de índole económica, profesional o de cualquier otra, pues en caso contrario nos encontraríamos ante la acción popular, la cual no requiere afectación alguna a la esfera jurídica; 4) El titular del interés legítimo tiene un interés propio, distinto del de cualquier otro gobernado, el cual consiste en que los poderes públicos actúen de acuerdo con el ordenamiento, cuando con motivo de la persecución de fines de carácter general incida en el ámbito de ese interés propio; 5) Se trata de un interés cualificado, actual y real, no potencial o hipotético, es decir, se trata de un interés jurídicamente relevante; y, 6) La anulación produce efectos positivos o negativos en la esfera jurídica del gobernado.</w:t>
      </w:r>
      <w:r>
        <w:rPr>
          <w:rFonts w:ascii="Palatino Linotype" w:hAnsi="Palatino Linotype"/>
          <w:i/>
          <w:sz w:val="20"/>
          <w:szCs w:val="20"/>
        </w:rPr>
        <w:t>”</w:t>
      </w:r>
    </w:p>
    <w:p w:rsidR="005E67DB" w:rsidRDefault="003317F0" w:rsidP="005E67DB">
      <w:pPr>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En conclusión,</w:t>
      </w:r>
      <w:r w:rsidR="005E67DB">
        <w:rPr>
          <w:rFonts w:ascii="Palatino Linotype" w:eastAsia="Arial Unicode MS" w:hAnsi="Palatino Linotype" w:cs="Arial"/>
          <w:sz w:val="24"/>
          <w:szCs w:val="24"/>
        </w:rPr>
        <w:t xml:space="preserve"> consider</w:t>
      </w:r>
      <w:r w:rsidR="000129B2">
        <w:rPr>
          <w:rFonts w:ascii="Palatino Linotype" w:eastAsia="Arial Unicode MS" w:hAnsi="Palatino Linotype" w:cs="Arial"/>
          <w:sz w:val="24"/>
          <w:szCs w:val="24"/>
        </w:rPr>
        <w:t>o</w:t>
      </w:r>
      <w:r w:rsidR="005E67DB">
        <w:rPr>
          <w:rFonts w:ascii="Palatino Linotype" w:eastAsia="Arial Unicode MS" w:hAnsi="Palatino Linotype" w:cs="Arial"/>
          <w:sz w:val="24"/>
          <w:szCs w:val="24"/>
        </w:rPr>
        <w:t xml:space="preserve"> que </w:t>
      </w:r>
      <w:r w:rsidR="007557DD">
        <w:rPr>
          <w:rFonts w:ascii="Palatino Linotype" w:eastAsia="Arial Unicode MS" w:hAnsi="Palatino Linotype" w:cs="Arial"/>
          <w:sz w:val="24"/>
          <w:szCs w:val="24"/>
        </w:rPr>
        <w:t>la falta de acreditación del interés legítimo atenta derechos de terceras personas</w:t>
      </w:r>
      <w:r w:rsidR="005E67DB">
        <w:rPr>
          <w:rFonts w:ascii="Palatino Linotype" w:eastAsia="Arial Unicode MS" w:hAnsi="Palatino Linotype" w:cs="Arial"/>
          <w:sz w:val="24"/>
          <w:szCs w:val="24"/>
        </w:rPr>
        <w:t>, puesto que puede propiciar qu</w:t>
      </w:r>
      <w:r w:rsidR="007557DD">
        <w:rPr>
          <w:rFonts w:ascii="Palatino Linotype" w:eastAsia="Arial Unicode MS" w:hAnsi="Palatino Linotype" w:cs="Arial"/>
          <w:sz w:val="24"/>
          <w:szCs w:val="24"/>
        </w:rPr>
        <w:t>e se menoscabe o se deje en desventaja a terceras personas</w:t>
      </w:r>
      <w:r w:rsidR="005E67DB">
        <w:rPr>
          <w:rFonts w:ascii="Palatino Linotype" w:eastAsia="Arial Unicode MS" w:hAnsi="Palatino Linotype" w:cs="Arial"/>
          <w:sz w:val="24"/>
          <w:szCs w:val="24"/>
        </w:rPr>
        <w:t>.</w:t>
      </w:r>
    </w:p>
    <w:p w:rsidR="00462F9C" w:rsidRDefault="00462F9C" w:rsidP="00462F9C">
      <w:pPr>
        <w:spacing w:before="240" w:after="240" w:line="360" w:lineRule="auto"/>
        <w:jc w:val="both"/>
        <w:rPr>
          <w:rFonts w:ascii="Palatino Linotype" w:hAnsi="Palatino Linotype"/>
          <w:sz w:val="24"/>
          <w:szCs w:val="24"/>
        </w:rPr>
      </w:pPr>
      <w:r>
        <w:rPr>
          <w:rFonts w:ascii="Palatino Linotype" w:hAnsi="Palatino Linotype"/>
          <w:sz w:val="24"/>
          <w:szCs w:val="24"/>
        </w:rPr>
        <w:t>Por ello, c</w:t>
      </w:r>
      <w:r w:rsidRPr="009A256B">
        <w:rPr>
          <w:rFonts w:ascii="Palatino Linotype" w:hAnsi="Palatino Linotype"/>
          <w:sz w:val="24"/>
          <w:szCs w:val="24"/>
        </w:rPr>
        <w:t xml:space="preserve">on 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Pr>
          <w:rFonts w:ascii="Palatino Linotype" w:hAnsi="Palatino Linotype"/>
          <w:sz w:val="24"/>
          <w:szCs w:val="24"/>
        </w:rPr>
        <w:t xml:space="preserve">de México y Municipios, </w:t>
      </w:r>
      <w:r w:rsidR="000129B2">
        <w:rPr>
          <w:rFonts w:ascii="Palatino Linotype" w:hAnsi="Palatino Linotype"/>
          <w:sz w:val="24"/>
          <w:szCs w:val="24"/>
        </w:rPr>
        <w:t>el</w:t>
      </w:r>
      <w:r w:rsidRPr="009A256B">
        <w:rPr>
          <w:rFonts w:ascii="Palatino Linotype" w:hAnsi="Palatino Linotype"/>
          <w:sz w:val="24"/>
          <w:szCs w:val="24"/>
        </w:rPr>
        <w:t xml:space="preserve"> </w:t>
      </w:r>
      <w:r w:rsidR="005646F0">
        <w:rPr>
          <w:rFonts w:ascii="Palatino Linotype" w:hAnsi="Palatino Linotype"/>
          <w:sz w:val="24"/>
          <w:szCs w:val="24"/>
        </w:rPr>
        <w:t>suscrito</w:t>
      </w:r>
      <w:r w:rsidR="00BA3598">
        <w:rPr>
          <w:rFonts w:ascii="Palatino Linotype" w:hAnsi="Palatino Linotype" w:cs="Arial"/>
        </w:rPr>
        <w:t xml:space="preserve"> </w:t>
      </w:r>
      <w:r w:rsidRPr="009A256B">
        <w:rPr>
          <w:rFonts w:ascii="Palatino Linotype" w:hAnsi="Palatino Linotype"/>
          <w:sz w:val="24"/>
          <w:szCs w:val="24"/>
        </w:rPr>
        <w:t>emit</w:t>
      </w:r>
      <w:r w:rsidR="000129B2">
        <w:rPr>
          <w:rFonts w:ascii="Palatino Linotype" w:hAnsi="Palatino Linotype"/>
          <w:sz w:val="24"/>
          <w:szCs w:val="24"/>
        </w:rPr>
        <w:t>o</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Pr="009A256B">
        <w:rPr>
          <w:rFonts w:ascii="Palatino Linotype" w:hAnsi="Palatino Linotype"/>
          <w:sz w:val="24"/>
          <w:szCs w:val="24"/>
        </w:rPr>
        <w:t>respecto a la resolución dictada en el recurso de revisión</w:t>
      </w:r>
      <w:r>
        <w:rPr>
          <w:rFonts w:ascii="Palatino Linotype" w:hAnsi="Palatino Linotype"/>
          <w:sz w:val="24"/>
          <w:szCs w:val="24"/>
        </w:rPr>
        <w:t xml:space="preserve"> número</w:t>
      </w:r>
      <w:r w:rsidRPr="009A256B">
        <w:rPr>
          <w:rFonts w:ascii="Palatino Linotype" w:hAnsi="Palatino Linotype"/>
          <w:sz w:val="24"/>
          <w:szCs w:val="24"/>
        </w:rPr>
        <w:t xml:space="preserve"> </w:t>
      </w:r>
      <w:r>
        <w:rPr>
          <w:rFonts w:ascii="Palatino Linotype" w:hAnsi="Palatino Linotype"/>
          <w:sz w:val="24"/>
          <w:szCs w:val="24"/>
        </w:rPr>
        <w:t>02</w:t>
      </w:r>
      <w:r w:rsidR="007557DD">
        <w:rPr>
          <w:rFonts w:ascii="Palatino Linotype" w:hAnsi="Palatino Linotype"/>
          <w:sz w:val="24"/>
          <w:szCs w:val="24"/>
        </w:rPr>
        <w:t>957/INFOEM/AD</w:t>
      </w:r>
      <w:r w:rsidRPr="009A256B">
        <w:rPr>
          <w:rFonts w:ascii="Palatino Linotype" w:hAnsi="Palatino Linotype"/>
          <w:sz w:val="24"/>
          <w:szCs w:val="24"/>
        </w:rPr>
        <w:t>/RR/201</w:t>
      </w:r>
      <w:r w:rsidR="005E67DB">
        <w:rPr>
          <w:rFonts w:ascii="Palatino Linotype" w:hAnsi="Palatino Linotype"/>
          <w:sz w:val="24"/>
          <w:szCs w:val="24"/>
        </w:rPr>
        <w:t>8</w:t>
      </w:r>
      <w:r w:rsidRPr="009A256B">
        <w:rPr>
          <w:rFonts w:ascii="Palatino Linotype" w:hAnsi="Palatino Linotype"/>
          <w:sz w:val="24"/>
          <w:szCs w:val="24"/>
        </w:rPr>
        <w:t xml:space="preserve">, pronunciada por el Pleno de este Instituto ante el proyecto presentado por </w:t>
      </w:r>
      <w:r w:rsidR="000129B2">
        <w:rPr>
          <w:rFonts w:ascii="Palatino Linotype" w:hAnsi="Palatino Linotype"/>
          <w:sz w:val="24"/>
          <w:szCs w:val="24"/>
        </w:rPr>
        <w:t>l</w:t>
      </w:r>
      <w:r w:rsidR="00D34302">
        <w:rPr>
          <w:rFonts w:ascii="Palatino Linotype" w:hAnsi="Palatino Linotype"/>
          <w:sz w:val="24"/>
          <w:szCs w:val="24"/>
        </w:rPr>
        <w:t>a</w:t>
      </w:r>
      <w:r w:rsidRPr="009A256B">
        <w:rPr>
          <w:rFonts w:ascii="Palatino Linotype" w:hAnsi="Palatino Linotype"/>
          <w:sz w:val="24"/>
          <w:szCs w:val="24"/>
        </w:rPr>
        <w:t xml:space="preserve"> Comisionad</w:t>
      </w:r>
      <w:r w:rsidR="00D34302">
        <w:rPr>
          <w:rFonts w:ascii="Palatino Linotype" w:hAnsi="Palatino Linotype"/>
          <w:sz w:val="24"/>
          <w:szCs w:val="24"/>
        </w:rPr>
        <w:t>a</w:t>
      </w:r>
      <w:r w:rsidRPr="009A256B">
        <w:rPr>
          <w:rFonts w:ascii="Palatino Linotype" w:hAnsi="Palatino Linotype"/>
          <w:sz w:val="24"/>
          <w:szCs w:val="24"/>
        </w:rPr>
        <w:t xml:space="preserve"> </w:t>
      </w:r>
      <w:r w:rsidR="00D34302">
        <w:rPr>
          <w:rFonts w:ascii="Palatino Linotype" w:hAnsi="Palatino Linotype"/>
          <w:sz w:val="24"/>
          <w:szCs w:val="24"/>
        </w:rPr>
        <w:t>Eva Abaid Yapur</w:t>
      </w:r>
      <w:r>
        <w:rPr>
          <w:rFonts w:ascii="Palatino Linotype" w:hAnsi="Palatino Linotype"/>
          <w:sz w:val="24"/>
          <w:szCs w:val="24"/>
        </w:rPr>
        <w:t>.</w:t>
      </w:r>
    </w:p>
    <w:p w:rsidR="00462F9C" w:rsidRDefault="00462F9C" w:rsidP="001E28B6">
      <w:pPr>
        <w:spacing w:before="240" w:after="240" w:line="360" w:lineRule="auto"/>
        <w:jc w:val="both"/>
        <w:rPr>
          <w:rFonts w:ascii="Palatino Linotype" w:hAnsi="Palatino Linotype"/>
          <w:sz w:val="24"/>
          <w:szCs w:val="24"/>
        </w:rPr>
      </w:pPr>
    </w:p>
    <w:p w:rsidR="00456467" w:rsidRDefault="00456467" w:rsidP="000607BA">
      <w:pPr>
        <w:spacing w:after="0" w:line="360" w:lineRule="auto"/>
        <w:jc w:val="both"/>
        <w:rPr>
          <w:rFonts w:ascii="Palatino Linotype" w:hAnsi="Palatino Linotype"/>
          <w:sz w:val="24"/>
          <w:szCs w:val="24"/>
        </w:rPr>
      </w:pPr>
    </w:p>
    <w:p w:rsidR="00456467" w:rsidRDefault="00456467"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0129B2" w:rsidTr="00B53A1A">
        <w:tc>
          <w:tcPr>
            <w:tcW w:w="8918" w:type="dxa"/>
          </w:tcPr>
          <w:p w:rsidR="000129B2" w:rsidRPr="00462F9C" w:rsidRDefault="000129B2" w:rsidP="005E67DB">
            <w:pPr>
              <w:spacing w:line="240" w:lineRule="auto"/>
              <w:jc w:val="center"/>
              <w:rPr>
                <w:rFonts w:ascii="Palatino Linotype" w:hAnsi="Palatino Linotype"/>
                <w:b/>
                <w:sz w:val="28"/>
                <w:szCs w:val="28"/>
              </w:rPr>
            </w:pPr>
            <w:r>
              <w:rPr>
                <w:rFonts w:ascii="Palatino Linotype" w:hAnsi="Palatino Linotype"/>
                <w:b/>
                <w:sz w:val="28"/>
                <w:szCs w:val="28"/>
              </w:rPr>
              <w:t>Javier Martínez Cruz</w:t>
            </w:r>
            <w:r w:rsidRPr="003F3117">
              <w:rPr>
                <w:rFonts w:ascii="Palatino Linotype" w:hAnsi="Palatino Linotype"/>
                <w:b/>
                <w:sz w:val="28"/>
                <w:szCs w:val="28"/>
              </w:rPr>
              <w:t xml:space="preserve"> </w:t>
            </w:r>
          </w:p>
        </w:tc>
      </w:tr>
      <w:tr w:rsidR="000129B2" w:rsidTr="000B4936">
        <w:tc>
          <w:tcPr>
            <w:tcW w:w="8918" w:type="dxa"/>
          </w:tcPr>
          <w:p w:rsidR="000129B2" w:rsidRDefault="000129B2" w:rsidP="000B261E">
            <w:pPr>
              <w:spacing w:line="240" w:lineRule="auto"/>
              <w:jc w:val="center"/>
              <w:rPr>
                <w:rFonts w:ascii="Palatino Linotype" w:hAnsi="Palatino Linotype"/>
                <w:sz w:val="24"/>
                <w:szCs w:val="24"/>
              </w:rPr>
            </w:pPr>
            <w:r>
              <w:rPr>
                <w:rFonts w:ascii="Palatino Linotype" w:hAnsi="Palatino Linotype"/>
                <w:b/>
                <w:sz w:val="24"/>
                <w:szCs w:val="24"/>
              </w:rPr>
              <w:t xml:space="preserve">Comisionado </w:t>
            </w:r>
          </w:p>
        </w:tc>
      </w:tr>
      <w:tr w:rsidR="000129B2" w:rsidTr="00002B7A">
        <w:tc>
          <w:tcPr>
            <w:tcW w:w="8918" w:type="dxa"/>
          </w:tcPr>
          <w:p w:rsidR="000129B2" w:rsidRPr="00237368" w:rsidRDefault="000129B2" w:rsidP="00462F9C">
            <w:pPr>
              <w:spacing w:line="240" w:lineRule="auto"/>
              <w:jc w:val="center"/>
              <w:rPr>
                <w:rFonts w:ascii="Palatino Linotype" w:hAnsi="Palatino Linotype" w:cs="Arial"/>
              </w:rPr>
            </w:pPr>
            <w:r>
              <w:rPr>
                <w:rFonts w:ascii="Palatino Linotype" w:hAnsi="Palatino Linotype" w:cs="Arial"/>
              </w:rPr>
              <w:t>(Rúbrica)</w:t>
            </w:r>
          </w:p>
        </w:tc>
      </w:tr>
    </w:tbl>
    <w:p w:rsidR="00456467" w:rsidRDefault="00456467" w:rsidP="000607BA">
      <w:pPr>
        <w:spacing w:after="0" w:line="360" w:lineRule="auto"/>
        <w:jc w:val="both"/>
        <w:rPr>
          <w:rFonts w:ascii="Palatino Linotype" w:hAnsi="Palatino Linotype"/>
          <w:sz w:val="24"/>
          <w:szCs w:val="24"/>
        </w:rPr>
      </w:pPr>
    </w:p>
    <w:sectPr w:rsidR="00456467"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52C" w:rsidRDefault="00F8652C" w:rsidP="00907451">
      <w:pPr>
        <w:spacing w:after="0" w:line="240" w:lineRule="auto"/>
      </w:pPr>
      <w:r>
        <w:separator/>
      </w:r>
    </w:p>
  </w:endnote>
  <w:endnote w:type="continuationSeparator" w:id="0">
    <w:p w:rsidR="00F8652C" w:rsidRDefault="00F8652C"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DBC" w:rsidRDefault="004D5DBC" w:rsidP="004D5DBC">
    <w:pPr>
      <w:pStyle w:val="Piedepgina"/>
      <w:jc w:val="right"/>
      <w:rPr>
        <w:rFonts w:ascii="Arial" w:hAnsi="Arial" w:cs="Arial"/>
        <w:sz w:val="20"/>
        <w:szCs w:val="20"/>
      </w:rPr>
    </w:pP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608FE">
      <w:rPr>
        <w:rFonts w:ascii="Arial" w:hAnsi="Arial" w:cs="Arial"/>
        <w:b/>
        <w:bCs/>
        <w:noProof/>
        <w:sz w:val="20"/>
        <w:szCs w:val="20"/>
      </w:rPr>
      <w:t>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608FE">
      <w:rPr>
        <w:rFonts w:ascii="Arial" w:hAnsi="Arial" w:cs="Arial"/>
        <w:b/>
        <w:bCs/>
        <w:noProof/>
        <w:sz w:val="20"/>
        <w:szCs w:val="20"/>
      </w:rPr>
      <w:t>7</w:t>
    </w:r>
    <w:r>
      <w:rPr>
        <w:rFonts w:ascii="Arial" w:hAnsi="Arial" w:cs="Arial"/>
        <w:b/>
        <w:bCs/>
        <w:sz w:val="20"/>
        <w:szCs w:val="20"/>
      </w:rPr>
      <w:fldChar w:fldCharType="end"/>
    </w:r>
  </w:p>
  <w:p w:rsidR="004D5DBC" w:rsidRDefault="004D5DBC" w:rsidP="004D5DBC">
    <w:pPr>
      <w:pStyle w:val="Piedepgina"/>
    </w:pPr>
  </w:p>
  <w:p w:rsidR="00D758BE" w:rsidRDefault="00F8652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52C" w:rsidRDefault="00F8652C" w:rsidP="00907451">
      <w:pPr>
        <w:spacing w:after="0" w:line="240" w:lineRule="auto"/>
      </w:pPr>
      <w:r>
        <w:separator/>
      </w:r>
    </w:p>
  </w:footnote>
  <w:footnote w:type="continuationSeparator" w:id="0">
    <w:p w:rsidR="00F8652C" w:rsidRDefault="00F8652C" w:rsidP="00907451">
      <w:pPr>
        <w:spacing w:after="0" w:line="240" w:lineRule="auto"/>
      </w:pPr>
      <w:r>
        <w:continuationSeparator/>
      </w:r>
    </w:p>
  </w:footnote>
  <w:footnote w:id="1">
    <w:p w:rsidR="00E50D3E" w:rsidRPr="00E50D3E" w:rsidRDefault="00E50D3E" w:rsidP="00B83150">
      <w:pPr>
        <w:pStyle w:val="Prrafodelista"/>
        <w:ind w:left="0" w:right="-6"/>
        <w:contextualSpacing w:val="0"/>
        <w:jc w:val="both"/>
        <w:rPr>
          <w:rFonts w:ascii="Palatino Linotype" w:hAnsi="Palatino Linotype"/>
          <w:b/>
          <w:i/>
          <w:sz w:val="16"/>
          <w:szCs w:val="16"/>
        </w:rPr>
      </w:pPr>
      <w:r w:rsidRPr="00E50D3E">
        <w:rPr>
          <w:rStyle w:val="Refdenotaalpie"/>
          <w:rFonts w:ascii="Palatino Linotype" w:hAnsi="Palatino Linotype"/>
          <w:sz w:val="16"/>
          <w:szCs w:val="16"/>
        </w:rPr>
        <w:footnoteRef/>
      </w:r>
      <w:r w:rsidRPr="00E50D3E">
        <w:rPr>
          <w:rFonts w:ascii="Palatino Linotype" w:hAnsi="Palatino Linotype"/>
          <w:sz w:val="16"/>
          <w:szCs w:val="16"/>
        </w:rPr>
        <w:t xml:space="preserve"> </w:t>
      </w:r>
      <w:r w:rsidRPr="00E50D3E">
        <w:rPr>
          <w:rFonts w:ascii="Palatino Linotype" w:hAnsi="Palatino Linotype"/>
          <w:b/>
          <w:i/>
          <w:sz w:val="16"/>
          <w:szCs w:val="16"/>
        </w:rPr>
        <w:t>Estatuto Interno</w:t>
      </w:r>
    </w:p>
    <w:p w:rsidR="00E50D3E" w:rsidRPr="00E50D3E" w:rsidRDefault="00E50D3E" w:rsidP="00B83150">
      <w:pPr>
        <w:pStyle w:val="Prrafodelista"/>
        <w:ind w:left="0" w:right="-6"/>
        <w:contextualSpacing w:val="0"/>
        <w:jc w:val="both"/>
        <w:rPr>
          <w:rFonts w:ascii="Palatino Linotype" w:hAnsi="Palatino Linotype"/>
          <w:i/>
          <w:sz w:val="16"/>
          <w:szCs w:val="16"/>
        </w:rPr>
      </w:pPr>
      <w:r w:rsidRPr="00E50D3E">
        <w:rPr>
          <w:rFonts w:ascii="Palatino Linotype" w:hAnsi="Palatino Linotype"/>
          <w:b/>
          <w:i/>
          <w:sz w:val="16"/>
          <w:szCs w:val="16"/>
        </w:rPr>
        <w:t>Artículo 120.-</w:t>
      </w:r>
      <w:r w:rsidRPr="00E50D3E">
        <w:rPr>
          <w:rFonts w:ascii="Palatino Linotype" w:hAnsi="Palatino Linotype"/>
          <w:i/>
          <w:sz w:val="16"/>
          <w:szCs w:val="16"/>
        </w:rPr>
        <w:t xml:space="preserve"> La cuota de Mutualidad, de ninguna manera será inferior al 1% sobre la percepción mensual base de cada uno de los afiliados, y se recabará en la misma forma que las cuotas sindicales, destinándose para este fin específico: </w:t>
      </w:r>
    </w:p>
    <w:p w:rsidR="00E50D3E" w:rsidRPr="00E50D3E" w:rsidRDefault="00E50D3E" w:rsidP="00B83150">
      <w:pPr>
        <w:pStyle w:val="Prrafodelista"/>
        <w:ind w:left="0" w:right="-6"/>
        <w:contextualSpacing w:val="0"/>
        <w:jc w:val="both"/>
        <w:rPr>
          <w:rFonts w:ascii="Palatino Linotype" w:hAnsi="Palatino Linotype"/>
          <w:i/>
          <w:sz w:val="16"/>
          <w:szCs w:val="16"/>
        </w:rPr>
      </w:pPr>
      <w:r w:rsidRPr="00E50D3E">
        <w:rPr>
          <w:rFonts w:ascii="Palatino Linotype" w:hAnsi="Palatino Linotype"/>
          <w:i/>
          <w:sz w:val="16"/>
          <w:szCs w:val="16"/>
        </w:rPr>
        <w:t xml:space="preserve">I.- Los excedentes que resultan de esta cuota, pasarán a constituir el fondo social del Sindicato, el cual será utilizado como lo menciona el Artículo 119. </w:t>
      </w:r>
    </w:p>
    <w:p w:rsidR="00E50D3E" w:rsidRPr="00E50D3E" w:rsidRDefault="00E50D3E" w:rsidP="00B83150">
      <w:pPr>
        <w:pStyle w:val="Prrafodelista"/>
        <w:ind w:left="0" w:right="-6"/>
        <w:contextualSpacing w:val="0"/>
        <w:jc w:val="both"/>
        <w:rPr>
          <w:rFonts w:ascii="Palatino Linotype" w:hAnsi="Palatino Linotype"/>
          <w:b/>
          <w:i/>
          <w:sz w:val="16"/>
          <w:szCs w:val="16"/>
        </w:rPr>
      </w:pPr>
      <w:r w:rsidRPr="00E50D3E">
        <w:rPr>
          <w:rFonts w:ascii="Palatino Linotype" w:hAnsi="Palatino Linotype"/>
          <w:b/>
          <w:i/>
          <w:sz w:val="16"/>
          <w:szCs w:val="16"/>
        </w:rPr>
        <w:t>Reglamento del Fondo de Mutualidad</w:t>
      </w:r>
    </w:p>
    <w:p w:rsidR="00E50D3E" w:rsidRPr="00E50D3E" w:rsidRDefault="00E50D3E" w:rsidP="00B83150">
      <w:pPr>
        <w:pStyle w:val="Prrafodelista"/>
        <w:ind w:left="0" w:right="-6"/>
        <w:contextualSpacing w:val="0"/>
        <w:jc w:val="both"/>
        <w:rPr>
          <w:rFonts w:ascii="Palatino Linotype" w:hAnsi="Palatino Linotype"/>
          <w:i/>
          <w:sz w:val="16"/>
          <w:szCs w:val="16"/>
        </w:rPr>
      </w:pPr>
      <w:r w:rsidRPr="00E50D3E">
        <w:rPr>
          <w:rFonts w:ascii="Palatino Linotype" w:hAnsi="Palatino Linotype"/>
          <w:b/>
          <w:i/>
          <w:sz w:val="16"/>
          <w:szCs w:val="16"/>
        </w:rPr>
        <w:t>Artículo 2º.-</w:t>
      </w:r>
      <w:r w:rsidRPr="00E50D3E">
        <w:rPr>
          <w:rFonts w:ascii="Palatino Linotype" w:hAnsi="Palatino Linotype"/>
          <w:i/>
          <w:sz w:val="16"/>
          <w:szCs w:val="16"/>
        </w:rPr>
        <w:t xml:space="preserve"> En los términos del presente Reglamento, se establece un Fondo de Mutualidad, en favor de los agremiados mutualistas o de sus familiares económicos según subsistan en el momento del deceso de un servidor público mutualista. </w:t>
      </w:r>
    </w:p>
    <w:p w:rsidR="00E50D3E" w:rsidRPr="00E50D3E" w:rsidRDefault="00E50D3E" w:rsidP="00B83150">
      <w:pPr>
        <w:pStyle w:val="Prrafodelista"/>
        <w:ind w:left="0" w:right="-6"/>
        <w:contextualSpacing w:val="0"/>
        <w:jc w:val="both"/>
        <w:rPr>
          <w:rFonts w:ascii="Palatino Linotype" w:hAnsi="Palatino Linotype"/>
          <w:i/>
          <w:sz w:val="16"/>
          <w:szCs w:val="16"/>
        </w:rPr>
      </w:pPr>
      <w:r w:rsidRPr="00E50D3E">
        <w:rPr>
          <w:rFonts w:ascii="Palatino Linotype" w:hAnsi="Palatino Linotype"/>
          <w:b/>
          <w:i/>
          <w:sz w:val="16"/>
          <w:szCs w:val="16"/>
        </w:rPr>
        <w:t>(…</w:t>
      </w:r>
      <w:r w:rsidRPr="00E50D3E">
        <w:rPr>
          <w:rFonts w:ascii="Palatino Linotype" w:hAnsi="Palatino Linotype"/>
          <w:i/>
          <w:sz w:val="16"/>
          <w:szCs w:val="16"/>
        </w:rPr>
        <w:t>)</w:t>
      </w:r>
    </w:p>
    <w:p w:rsidR="00E50D3E" w:rsidRPr="00E50D3E" w:rsidRDefault="00E50D3E" w:rsidP="00B83150">
      <w:pPr>
        <w:pStyle w:val="Prrafodelista"/>
        <w:ind w:left="0" w:right="-6"/>
        <w:contextualSpacing w:val="0"/>
        <w:jc w:val="both"/>
        <w:rPr>
          <w:rFonts w:ascii="Palatino Linotype" w:hAnsi="Palatino Linotype"/>
          <w:i/>
          <w:sz w:val="16"/>
          <w:szCs w:val="16"/>
        </w:rPr>
      </w:pPr>
      <w:r w:rsidRPr="00E50D3E">
        <w:rPr>
          <w:rFonts w:ascii="Palatino Linotype" w:hAnsi="Palatino Linotype"/>
          <w:b/>
          <w:i/>
          <w:sz w:val="16"/>
          <w:szCs w:val="16"/>
        </w:rPr>
        <w:t>Artículo 9º.-</w:t>
      </w:r>
      <w:r w:rsidRPr="00E50D3E">
        <w:rPr>
          <w:rFonts w:ascii="Palatino Linotype" w:hAnsi="Palatino Linotype"/>
          <w:i/>
          <w:sz w:val="16"/>
          <w:szCs w:val="16"/>
        </w:rPr>
        <w:t xml:space="preserve"> El servidor público mutualista y el jubilado o pensionado establecerán mediante una carta designataria, a los beneficiarios de las cantidades que establece el presente Reglamento, en los porcentajes que así lo señale. Dicha carta se depositará en la Secretaría de Control Estadístico y Documental Estatal del Sindicato, a través de sus representantes sindicales. </w:t>
      </w:r>
    </w:p>
    <w:p w:rsidR="00E50D3E" w:rsidRPr="00B83150" w:rsidRDefault="00E50D3E" w:rsidP="00B83150">
      <w:pPr>
        <w:pStyle w:val="Prrafodelista"/>
        <w:ind w:left="0" w:right="-6"/>
        <w:contextualSpacing w:val="0"/>
        <w:jc w:val="both"/>
        <w:rPr>
          <w:rFonts w:ascii="Palatino Linotype" w:hAnsi="Palatino Linotype"/>
          <w:i/>
          <w:sz w:val="16"/>
          <w:szCs w:val="16"/>
        </w:rPr>
      </w:pPr>
      <w:r w:rsidRPr="00E50D3E">
        <w:rPr>
          <w:rFonts w:ascii="Palatino Linotype" w:hAnsi="Palatino Linotype"/>
          <w:b/>
          <w:i/>
          <w:sz w:val="16"/>
          <w:szCs w:val="16"/>
        </w:rPr>
        <w:t>Artículo 10º.-</w:t>
      </w:r>
      <w:r w:rsidRPr="00E50D3E">
        <w:rPr>
          <w:rFonts w:ascii="Palatino Linotype" w:hAnsi="Palatino Linotype"/>
          <w:i/>
          <w:sz w:val="16"/>
          <w:szCs w:val="16"/>
        </w:rPr>
        <w:t xml:space="preserve"> Los deudos de los agremiados mutualistas y jubilados o pensionados, recibirán en el momento de su deceso la cantidad equivalente a diez veces el salario mensual mínimo en vigor en el tabulador de salarios del Ejecutivo del Estado.”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F8652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9"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AA53B5" w:rsidP="007263BB">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F8652C"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70"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F8652C"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057319"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897E24" w:rsidRPr="00897E24">
      <w:rPr>
        <w:rFonts w:ascii="Palatino Linotype" w:hAnsi="Palatino Linotype" w:cs="Arial"/>
        <w:b/>
        <w:sz w:val="20"/>
        <w:szCs w:val="20"/>
      </w:rPr>
      <w:t>0</w:t>
    </w:r>
    <w:r w:rsidR="001E28B6">
      <w:rPr>
        <w:rFonts w:ascii="Palatino Linotype" w:hAnsi="Palatino Linotype" w:cs="Arial"/>
        <w:b/>
        <w:sz w:val="20"/>
        <w:szCs w:val="20"/>
      </w:rPr>
      <w:t>2</w:t>
    </w:r>
    <w:r w:rsidR="007D2513">
      <w:rPr>
        <w:rFonts w:ascii="Palatino Linotype" w:hAnsi="Palatino Linotype" w:cs="Arial"/>
        <w:b/>
        <w:sz w:val="20"/>
        <w:szCs w:val="20"/>
      </w:rPr>
      <w:t>957/INFOEM/AD</w:t>
    </w:r>
    <w:r w:rsidR="00897E24" w:rsidRPr="00897E24">
      <w:rPr>
        <w:rFonts w:ascii="Palatino Linotype" w:hAnsi="Palatino Linotype" w:cs="Arial"/>
        <w:b/>
        <w:sz w:val="20"/>
        <w:szCs w:val="20"/>
      </w:rPr>
      <w:t>/RR/201</w:t>
    </w:r>
    <w:r w:rsidR="00397503">
      <w:rPr>
        <w:rFonts w:ascii="Palatino Linotype" w:hAnsi="Palatino Linotype" w:cs="Arial"/>
        <w:b/>
        <w:sz w:val="20"/>
        <w:szCs w:val="20"/>
      </w:rPr>
      <w:t>8</w:t>
    </w:r>
  </w:p>
  <w:p w:rsidR="00D758BE" w:rsidRDefault="00F8652C" w:rsidP="007263BB">
    <w:pPr>
      <w:pStyle w:val="Encabezado"/>
      <w:jc w:val="right"/>
      <w:rPr>
        <w:rFonts w:ascii="Palatino Linotype" w:hAnsi="Palatino Linotype" w:cs="Arial"/>
        <w:sz w:val="20"/>
        <w:szCs w:val="20"/>
      </w:rPr>
    </w:pPr>
  </w:p>
  <w:p w:rsidR="00233AB2" w:rsidRDefault="00F8652C"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F8652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8"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E690A"/>
    <w:multiLevelType w:val="hybridMultilevel"/>
    <w:tmpl w:val="066837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FC4C72"/>
    <w:multiLevelType w:val="hybridMultilevel"/>
    <w:tmpl w:val="E99E117E"/>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DD1060"/>
    <w:multiLevelType w:val="hybridMultilevel"/>
    <w:tmpl w:val="B4D28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791E"/>
    <w:rsid w:val="000129B2"/>
    <w:rsid w:val="00031052"/>
    <w:rsid w:val="0004746C"/>
    <w:rsid w:val="0005061C"/>
    <w:rsid w:val="00051C17"/>
    <w:rsid w:val="00053AFC"/>
    <w:rsid w:val="00057319"/>
    <w:rsid w:val="000607BA"/>
    <w:rsid w:val="000851D9"/>
    <w:rsid w:val="0009470D"/>
    <w:rsid w:val="000B261E"/>
    <w:rsid w:val="000D43F9"/>
    <w:rsid w:val="000D5063"/>
    <w:rsid w:val="000E44AD"/>
    <w:rsid w:val="000E5EA0"/>
    <w:rsid w:val="000E6D3D"/>
    <w:rsid w:val="00127955"/>
    <w:rsid w:val="001438F1"/>
    <w:rsid w:val="00155046"/>
    <w:rsid w:val="001822F4"/>
    <w:rsid w:val="0019473A"/>
    <w:rsid w:val="001A7A16"/>
    <w:rsid w:val="001A7C78"/>
    <w:rsid w:val="001B39E3"/>
    <w:rsid w:val="001E258D"/>
    <w:rsid w:val="001E28B6"/>
    <w:rsid w:val="001E7439"/>
    <w:rsid w:val="001F097B"/>
    <w:rsid w:val="001F4B72"/>
    <w:rsid w:val="00215353"/>
    <w:rsid w:val="00233469"/>
    <w:rsid w:val="00237368"/>
    <w:rsid w:val="00251686"/>
    <w:rsid w:val="00262358"/>
    <w:rsid w:val="00292D40"/>
    <w:rsid w:val="002A4E40"/>
    <w:rsid w:val="002A5ADD"/>
    <w:rsid w:val="002A6359"/>
    <w:rsid w:val="002B328E"/>
    <w:rsid w:val="002B4286"/>
    <w:rsid w:val="002B7CDC"/>
    <w:rsid w:val="002E5A5A"/>
    <w:rsid w:val="002F0125"/>
    <w:rsid w:val="003317F0"/>
    <w:rsid w:val="00334F64"/>
    <w:rsid w:val="00335939"/>
    <w:rsid w:val="003608FE"/>
    <w:rsid w:val="0036408D"/>
    <w:rsid w:val="00397503"/>
    <w:rsid w:val="003C37BD"/>
    <w:rsid w:val="003E7A3F"/>
    <w:rsid w:val="00405C7B"/>
    <w:rsid w:val="00456467"/>
    <w:rsid w:val="00462F9C"/>
    <w:rsid w:val="00472C0E"/>
    <w:rsid w:val="00492F8D"/>
    <w:rsid w:val="004A7CD3"/>
    <w:rsid w:val="004D5DBC"/>
    <w:rsid w:val="004D7986"/>
    <w:rsid w:val="004E56D2"/>
    <w:rsid w:val="004F509F"/>
    <w:rsid w:val="00505F5A"/>
    <w:rsid w:val="00515D10"/>
    <w:rsid w:val="005169BD"/>
    <w:rsid w:val="00530D8E"/>
    <w:rsid w:val="005507BF"/>
    <w:rsid w:val="00553E6C"/>
    <w:rsid w:val="005549ED"/>
    <w:rsid w:val="005646F0"/>
    <w:rsid w:val="005777C1"/>
    <w:rsid w:val="00585E91"/>
    <w:rsid w:val="00593E97"/>
    <w:rsid w:val="005C239D"/>
    <w:rsid w:val="005D066B"/>
    <w:rsid w:val="005E67DB"/>
    <w:rsid w:val="005F4C0C"/>
    <w:rsid w:val="006214D7"/>
    <w:rsid w:val="00631FBA"/>
    <w:rsid w:val="00642D91"/>
    <w:rsid w:val="006551EF"/>
    <w:rsid w:val="00680DD7"/>
    <w:rsid w:val="00682AEC"/>
    <w:rsid w:val="006975A6"/>
    <w:rsid w:val="006A6AF4"/>
    <w:rsid w:val="006C34A1"/>
    <w:rsid w:val="006E048C"/>
    <w:rsid w:val="006E2616"/>
    <w:rsid w:val="006F346D"/>
    <w:rsid w:val="00737416"/>
    <w:rsid w:val="007557DD"/>
    <w:rsid w:val="00783B57"/>
    <w:rsid w:val="007B6EE5"/>
    <w:rsid w:val="007C207E"/>
    <w:rsid w:val="007C5B01"/>
    <w:rsid w:val="007C6C71"/>
    <w:rsid w:val="007D2513"/>
    <w:rsid w:val="00817AA2"/>
    <w:rsid w:val="00825DEC"/>
    <w:rsid w:val="00856631"/>
    <w:rsid w:val="0085760C"/>
    <w:rsid w:val="00871E3F"/>
    <w:rsid w:val="0087565D"/>
    <w:rsid w:val="00883ABB"/>
    <w:rsid w:val="00892DF4"/>
    <w:rsid w:val="00894E26"/>
    <w:rsid w:val="00897E24"/>
    <w:rsid w:val="008A21F8"/>
    <w:rsid w:val="008A4206"/>
    <w:rsid w:val="008D13D7"/>
    <w:rsid w:val="008E2933"/>
    <w:rsid w:val="008E4A42"/>
    <w:rsid w:val="008E63B6"/>
    <w:rsid w:val="00902BEC"/>
    <w:rsid w:val="00907451"/>
    <w:rsid w:val="00956FEF"/>
    <w:rsid w:val="009611D3"/>
    <w:rsid w:val="00974D60"/>
    <w:rsid w:val="009861E6"/>
    <w:rsid w:val="0098633B"/>
    <w:rsid w:val="00996474"/>
    <w:rsid w:val="009B33A8"/>
    <w:rsid w:val="009D4A3C"/>
    <w:rsid w:val="00A00A31"/>
    <w:rsid w:val="00A01E1E"/>
    <w:rsid w:val="00A1161D"/>
    <w:rsid w:val="00A140E6"/>
    <w:rsid w:val="00A21005"/>
    <w:rsid w:val="00A44ECA"/>
    <w:rsid w:val="00A6590B"/>
    <w:rsid w:val="00AA53B5"/>
    <w:rsid w:val="00AB0909"/>
    <w:rsid w:val="00AB33EF"/>
    <w:rsid w:val="00AC3ECC"/>
    <w:rsid w:val="00AD0389"/>
    <w:rsid w:val="00AD51DD"/>
    <w:rsid w:val="00AE0FE3"/>
    <w:rsid w:val="00AE2FD6"/>
    <w:rsid w:val="00AE4E12"/>
    <w:rsid w:val="00AE7437"/>
    <w:rsid w:val="00B02DEB"/>
    <w:rsid w:val="00B06371"/>
    <w:rsid w:val="00B1541F"/>
    <w:rsid w:val="00B375B5"/>
    <w:rsid w:val="00B42E5B"/>
    <w:rsid w:val="00B547F4"/>
    <w:rsid w:val="00B606D8"/>
    <w:rsid w:val="00B63E78"/>
    <w:rsid w:val="00B64C32"/>
    <w:rsid w:val="00B730C9"/>
    <w:rsid w:val="00B83150"/>
    <w:rsid w:val="00B95ED4"/>
    <w:rsid w:val="00B979A9"/>
    <w:rsid w:val="00BA1AB7"/>
    <w:rsid w:val="00BA3598"/>
    <w:rsid w:val="00BE6B5D"/>
    <w:rsid w:val="00C1348B"/>
    <w:rsid w:val="00C15C3D"/>
    <w:rsid w:val="00C31223"/>
    <w:rsid w:val="00C3452B"/>
    <w:rsid w:val="00C44E15"/>
    <w:rsid w:val="00C47969"/>
    <w:rsid w:val="00C6145E"/>
    <w:rsid w:val="00C62CA9"/>
    <w:rsid w:val="00C73967"/>
    <w:rsid w:val="00CC5CDC"/>
    <w:rsid w:val="00CD255B"/>
    <w:rsid w:val="00CF29D2"/>
    <w:rsid w:val="00D22EA3"/>
    <w:rsid w:val="00D32E4F"/>
    <w:rsid w:val="00D34302"/>
    <w:rsid w:val="00D44308"/>
    <w:rsid w:val="00D45D0A"/>
    <w:rsid w:val="00D46E9C"/>
    <w:rsid w:val="00D479B7"/>
    <w:rsid w:val="00D9754B"/>
    <w:rsid w:val="00DB70E3"/>
    <w:rsid w:val="00DC2F2E"/>
    <w:rsid w:val="00DC752B"/>
    <w:rsid w:val="00DF24FB"/>
    <w:rsid w:val="00E00112"/>
    <w:rsid w:val="00E14B35"/>
    <w:rsid w:val="00E20299"/>
    <w:rsid w:val="00E30FFD"/>
    <w:rsid w:val="00E358FB"/>
    <w:rsid w:val="00E35D2D"/>
    <w:rsid w:val="00E4465F"/>
    <w:rsid w:val="00E50D3E"/>
    <w:rsid w:val="00E920D4"/>
    <w:rsid w:val="00EA68BD"/>
    <w:rsid w:val="00EC695B"/>
    <w:rsid w:val="00EE4F8A"/>
    <w:rsid w:val="00F23017"/>
    <w:rsid w:val="00F23E2D"/>
    <w:rsid w:val="00F33C81"/>
    <w:rsid w:val="00F466F2"/>
    <w:rsid w:val="00F71A88"/>
    <w:rsid w:val="00F76B05"/>
    <w:rsid w:val="00F8652C"/>
    <w:rsid w:val="00F964C1"/>
    <w:rsid w:val="00F966B7"/>
    <w:rsid w:val="00F97255"/>
    <w:rsid w:val="00FD0DFE"/>
    <w:rsid w:val="00FD32BD"/>
    <w:rsid w:val="00FD3336"/>
    <w:rsid w:val="00FD3F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customStyle="1" w:styleId="Default">
    <w:name w:val="Default"/>
    <w:rsid w:val="00C134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A292553-F458-445D-8052-01492E88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7</Pages>
  <Words>1851</Words>
  <Characters>10185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84</cp:revision>
  <cp:lastPrinted>2018-10-15T17:06:00Z</cp:lastPrinted>
  <dcterms:created xsi:type="dcterms:W3CDTF">2016-06-24T15:53:00Z</dcterms:created>
  <dcterms:modified xsi:type="dcterms:W3CDTF">2018-10-15T17:22:00Z</dcterms:modified>
</cp:coreProperties>
</file>